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327DCF" w14:paraId="3FD6CFB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095431A" w14:textId="77777777" w:rsidR="00327DCF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93C0D4A" w14:textId="77777777" w:rsidR="00327DCF" w:rsidRDefault="00000000">
            <w:pPr>
              <w:spacing w:after="0" w:line="240" w:lineRule="auto"/>
            </w:pPr>
            <w:r>
              <w:t>29390</w:t>
            </w:r>
          </w:p>
        </w:tc>
      </w:tr>
      <w:tr w:rsidR="00327DCF" w14:paraId="6194EB0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EEB4E50" w14:textId="77777777" w:rsidR="00327DCF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14281AB2" w14:textId="77777777" w:rsidR="00327DCF" w:rsidRDefault="00000000">
            <w:pPr>
              <w:spacing w:after="0" w:line="240" w:lineRule="auto"/>
            </w:pPr>
            <w:r>
              <w:t>GRAD VIS</w:t>
            </w:r>
          </w:p>
        </w:tc>
      </w:tr>
      <w:tr w:rsidR="00327DCF" w14:paraId="2CE579A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908D5D1" w14:textId="77777777" w:rsidR="00327DCF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2FF72D7" w14:textId="77777777" w:rsidR="00327DCF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7A77A897" w14:textId="77777777" w:rsidR="00327DCF" w:rsidRDefault="00000000">
      <w:r>
        <w:br/>
      </w:r>
    </w:p>
    <w:p w14:paraId="5B8BB545" w14:textId="77777777" w:rsidR="00327DCF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9B60132" w14:textId="77777777" w:rsidR="00327DCF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6588891" w14:textId="77777777" w:rsidR="00327DCF" w:rsidRDefault="00000000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3D7C25BA" w14:textId="77777777" w:rsidR="00327DCF" w:rsidRDefault="00327DCF"/>
    <w:p w14:paraId="5EC01E92" w14:textId="77777777" w:rsidR="00327DCF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B61A441" w14:textId="77777777" w:rsidR="00327DCF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27DCF" w14:paraId="14D93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E70397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81979E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A2411F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A90900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CAE418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9D552C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27DCF" w14:paraId="02E203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73FB0B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72B535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9E6E6B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FEF99B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4.550.383,57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BA772B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4.711.756,51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7A6784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103,5</w:t>
            </w:r>
          </w:p>
        </w:tc>
      </w:tr>
      <w:tr w:rsidR="00327DCF" w14:paraId="1A9670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BE68AE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C2A82B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BA32A5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35A02E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2.232.609,50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4F066A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3.354.047,23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B5D418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150,2</w:t>
            </w:r>
          </w:p>
        </w:tc>
      </w:tr>
      <w:tr w:rsidR="00327DCF" w14:paraId="1A58A47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63683B" w14:textId="77777777" w:rsidR="00327DCF" w:rsidRDefault="00327D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A24B1E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2893C4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B9A630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2.317.774,07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294D11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1.357.709,28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7E3F8C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58,6</w:t>
            </w:r>
          </w:p>
        </w:tc>
      </w:tr>
      <w:tr w:rsidR="00327DCF" w14:paraId="0DAAE2D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A960EF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F8A184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5925FD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131701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634.553,33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664EC5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160.495,56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E88108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25,3</w:t>
            </w:r>
          </w:p>
        </w:tc>
      </w:tr>
      <w:tr w:rsidR="00327DCF" w14:paraId="3A95FD8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CDA1F4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CB08E6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2131C1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7E768E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1.711.790,85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96FD54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1.239.175,92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814DE4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72,4</w:t>
            </w:r>
          </w:p>
        </w:tc>
      </w:tr>
      <w:tr w:rsidR="00327DCF" w14:paraId="13E6679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2B9B0E" w14:textId="77777777" w:rsidR="00327DCF" w:rsidRDefault="00327D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E8235B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A12789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768590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1.077.237,52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EEDA81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1.078.680,36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413DA2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100,1</w:t>
            </w:r>
          </w:p>
        </w:tc>
      </w:tr>
      <w:tr w:rsidR="00327DCF" w14:paraId="3B80733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20C960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DA2039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12F4F6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4C5B6F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5C718A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7C8829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327DCF" w14:paraId="28F340C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D2165F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B1163A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AE6F22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EA50CF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379.633,68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2AC695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109.408,71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10EA24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28,8</w:t>
            </w:r>
          </w:p>
        </w:tc>
      </w:tr>
      <w:tr w:rsidR="00327DCF" w14:paraId="494DABD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08894E" w14:textId="77777777" w:rsidR="00327DCF" w:rsidRDefault="00327D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88309B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BD77C9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A92CD0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379.633,68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291CC1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109.408,71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40CEE2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28,8</w:t>
            </w:r>
          </w:p>
        </w:tc>
      </w:tr>
      <w:tr w:rsidR="00327DCF" w14:paraId="5B08B57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C6149F" w14:textId="77777777" w:rsidR="00327DCF" w:rsidRDefault="00327D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11F679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294A36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10D3AE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860.902,87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95A0CA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169.620,21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463268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19,7</w:t>
            </w:r>
          </w:p>
        </w:tc>
      </w:tr>
    </w:tbl>
    <w:p w14:paraId="78278A65" w14:textId="77777777" w:rsidR="00327DCF" w:rsidRDefault="00327DCF">
      <w:pPr>
        <w:spacing w:after="0"/>
      </w:pPr>
    </w:p>
    <w:p w14:paraId="1FF54CEA" w14:textId="77777777" w:rsidR="00327DCF" w:rsidRDefault="00000000">
      <w:r>
        <w:t>U razdoblju od 01. siječnja do 31. prosinca 2025. godine prihodi poslovanja ostvareni su u iznosu od 4.711.756,51 €. Rashodi poslovanja u razdoblju od 01. siječnja do 31. prosinca 2025. godine ostvareni su u iznosu 3.354.047,23 €. Najznačajnije povećanja rashoda evidentirano je uvećanjem materijalnih rashoda, najviše zbog povećanja cijena.  </w:t>
      </w:r>
    </w:p>
    <w:p w14:paraId="2094692D" w14:textId="77777777" w:rsidR="00327DCF" w:rsidRDefault="00000000">
      <w:r>
        <w:t xml:space="preserve">U navedenom razdoblju ostvareni su prihodi od prodaje nefinancijske imovine u iznosu  160.495,56 €  i odnose se na prodaju zemljišta, dok su rashodi za nabavu </w:t>
      </w:r>
      <w:proofErr w:type="spellStart"/>
      <w:r>
        <w:t>nefinacijske</w:t>
      </w:r>
      <w:proofErr w:type="spellEnd"/>
      <w:r>
        <w:t xml:space="preserve"> imovine </w:t>
      </w:r>
      <w:r>
        <w:lastRenderedPageBreak/>
        <w:t>ostvareni u iznosu od 1.239.175,92 €. Najveće povećanje odnosi se na ulaganje u adaptaciju nekretnina koje su u vlasništvu grada.</w:t>
      </w:r>
    </w:p>
    <w:p w14:paraId="7893B7B7" w14:textId="77777777" w:rsidR="00327DCF" w:rsidRDefault="00000000">
      <w:r>
        <w:t> U navedenom razdoblju ostvareni su izdatci za financijsku imovinu i otplate zajmova u iznosu od 109.408,71 € .</w:t>
      </w:r>
    </w:p>
    <w:p w14:paraId="55FBD58D" w14:textId="77777777" w:rsidR="00327DCF" w:rsidRDefault="00000000">
      <w:r>
        <w:t xml:space="preserve">U razdoblju od 01. siječnja do 31. prosinca 2025. godine ostvaren je višak prihoda poslovanja u iznosu  1.357.709,28 €, manjak prihoda od nefinancijske imovine u iznosu 1.078.680,36 €, manjak od </w:t>
      </w:r>
      <w:proofErr w:type="spellStart"/>
      <w:r>
        <w:t>dinancijske</w:t>
      </w:r>
      <w:proofErr w:type="spellEnd"/>
      <w:r>
        <w:t xml:space="preserve"> imovine i zaduživanja od 109.408,71 € , slijedom čega ja na kraju izvještajnog razdoblja ostvaren ukupan višak prihoda i primitaka u iznosu od 169.620,21 €.</w:t>
      </w:r>
    </w:p>
    <w:p w14:paraId="393C559E" w14:textId="77777777" w:rsidR="00327DCF" w:rsidRDefault="00000000">
      <w:r>
        <w:t> </w:t>
      </w:r>
    </w:p>
    <w:p w14:paraId="5AAD6E9B" w14:textId="77777777" w:rsidR="00327DCF" w:rsidRDefault="00000000">
      <w:r>
        <w:br/>
      </w:r>
    </w:p>
    <w:p w14:paraId="4A7912D7" w14:textId="77777777" w:rsidR="00327DCF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21D4967A" w14:textId="77777777" w:rsidR="00327DCF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327DCF" w14:paraId="6A608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9D8E06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5E75DC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DC7887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089369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BD7BF" w14:textId="77777777" w:rsidR="00327DC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27DCF" w14:paraId="0F8EFB4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54A714" w14:textId="77777777" w:rsidR="00327DCF" w:rsidRDefault="00327D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9A57C0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251E0C" w14:textId="77777777" w:rsidR="00327DC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FE55CC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76.107,72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2E7018" w14:textId="77777777" w:rsidR="00327DC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B4B5D62" w14:textId="77777777" w:rsidR="00327DCF" w:rsidRDefault="00327DCF">
      <w:pPr>
        <w:spacing w:after="0"/>
      </w:pPr>
    </w:p>
    <w:p w14:paraId="154A8372" w14:textId="77777777" w:rsidR="00327DCF" w:rsidRDefault="00000000">
      <w:r>
        <w:t>Stanje dospjelih obveza na kraju razdoblja iznosi 76.107,72 a odnose se na dospjele račune od dobavljača koji će biti plaćeni u slijedećoj poslovnoj godini.</w:t>
      </w:r>
    </w:p>
    <w:p w14:paraId="66A17637" w14:textId="77777777" w:rsidR="00327DCF" w:rsidRDefault="00327DCF"/>
    <w:sectPr w:rsidR="00327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DCF"/>
    <w:rsid w:val="00327DCF"/>
    <w:rsid w:val="00DC69CD"/>
    <w:rsid w:val="00E8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07F3"/>
  <w15:docId w15:val="{B5602831-30CF-4976-A0A2-5314ECDB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Vojković</dc:creator>
  <cp:lastModifiedBy>Andrea Vojković</cp:lastModifiedBy>
  <cp:revision>2</cp:revision>
  <dcterms:created xsi:type="dcterms:W3CDTF">2026-09-14T09:26:00Z</dcterms:created>
  <dcterms:modified xsi:type="dcterms:W3CDTF">2026-09-14T09:26:00Z</dcterms:modified>
</cp:coreProperties>
</file>